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F686A" w:rsidRDefault="00CF686A" w:rsidP="00CF686A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bCs w:val="0"/>
          <w:i w:val="0"/>
          <w:color w:val="000000"/>
        </w:rPr>
        <w:t>Ответственность за фиктивную прописку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иностранного гражданина или лица без гражданства по месту жительства в жилом помещении в Российской Федерации установлена уголовная ответственность до 3-х лет лишения свободы.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Кроме того, аналогичная ответственность установлена за фиктивную постановку на учет иностранного гражданина или лица без гражданства по месту пребывания в Российской Федерации.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При этом под фиктивной регистрацией и постановкой на учет понимается регистрация и постановка на учет на основании представления заведомо недостоверных сведений или документов, либо регистрация и постановка на учет без намерения фактически проживать в помещении или без намерения предоставить помещение для фактического проживания, либо постановка иностранного гражданина или лица без гражданства на учет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058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2020-12-07T13:51:00Z</cp:lastPrinted>
  <dcterms:created xsi:type="dcterms:W3CDTF">2020-12-10T05:55:00Z</dcterms:created>
  <dcterms:modified xsi:type="dcterms:W3CDTF">2020-12-10T05:55:00Z</dcterms:modified>
</cp:coreProperties>
</file>